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680" w:leader="none"/>
          <w:tab w:val="right" w:pos="9360" w:leader="none"/>
        </w:tabs>
        <w:rPr/>
      </w:pPr>
      <w:r>
        <w:rPr/>
      </w:r>
    </w:p>
    <w:p>
      <w:pPr>
        <w:pStyle w:val="Normal"/>
        <w:widowControl w:val="false"/>
        <w:tabs>
          <w:tab w:val="clear" w:pos="1296"/>
          <w:tab w:val="left" w:pos="567" w:leader="none"/>
          <w:tab w:val="left" w:pos="851" w:leader="none"/>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pPr>
        <w:pStyle w:val="Normal"/>
        <w:jc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4"/>
        <w:gridCol w:w="2359"/>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RYŠIO STIPRINIMO ĮRANGA</w:t>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c>
          <w:tcPr>
            <w:tcW w:w="2359"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rPr>
                <w:b/>
                <w:bCs/>
                <w:kern w:val="2"/>
                <w:szCs w:val="24"/>
              </w:rPr>
            </w:pPr>
            <w:r>
              <w:rPr>
                <w:b/>
                <w:bCs/>
                <w:kern w:val="2"/>
                <w:szCs w:val="24"/>
              </w:rPr>
            </w:r>
          </w:p>
          <w:p>
            <w:pPr>
              <w:pStyle w:val="Normal"/>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t>Valstybės įmonė Valstybinių miškų urėdija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t>132340880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0" w:after="280"/>
              <w:jc w:val="center"/>
              <w:textAlignment w:val="baseline"/>
              <w:rPr>
                <w:rStyle w:val="eop"/>
                <w:lang w:val="lt-LT"/>
              </w:rPr>
            </w:pPr>
            <w:r>
              <w:rPr>
                <w:rStyle w:val="normaltextrun"/>
                <w:lang w:val="lt-LT"/>
              </w:rPr>
              <w:t>Registracijos adresas: Pramonės pr. 11A-9, 51327 Kaunas</w:t>
            </w:r>
          </w:p>
          <w:p>
            <w:pPr>
              <w:pStyle w:val="Normal"/>
              <w:jc w:val="center"/>
              <w:rPr>
                <w:kern w:val="2"/>
                <w:szCs w:val="24"/>
              </w:rPr>
            </w:pPr>
            <w:r>
              <w:rPr>
                <w:rStyle w:val="normaltextrun"/>
              </w:rPr>
              <w:t>Buveinės adresas: Savanorių pr. 176, 03154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LT323408811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LT84 7044 0600 0812 3597</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paragraph"/>
              <w:spacing w:before="0" w:after="280"/>
              <w:jc w:val="center"/>
              <w:textAlignment w:val="baseline"/>
              <w:rPr/>
            </w:pPr>
            <w:r>
              <w:rPr>
                <w:rStyle w:val="normaltextrun"/>
              </w:rPr>
              <w:t>AB SEB bankas,</w:t>
            </w:r>
          </w:p>
          <w:p>
            <w:pPr>
              <w:pStyle w:val="Normal"/>
              <w:jc w:val="center"/>
              <w:rPr>
                <w:kern w:val="2"/>
                <w:szCs w:val="24"/>
              </w:rPr>
            </w:pPr>
            <w:r>
              <w:rPr>
                <w:rStyle w:val="normaltextrun"/>
              </w:rPr>
              <w:t>banko kodas: 70440</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rStyle w:val="normaltextrun"/>
              </w:rPr>
              <w:t>+370 5 273 4021</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hyperlink r:id="rId2">
              <w:r>
                <w:rPr>
                  <w:rStyle w:val="ListLabel1"/>
                  <w:color w:val="0000FF"/>
                </w:rPr>
                <w:t>info@vmu.lt</w:t>
              </w:r>
            </w:hyperlink>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olor w:val="000000"/>
                <w:sz w:val="22"/>
                <w:szCs w:val="22"/>
              </w:rPr>
            </w:pPr>
            <w:r>
              <w:rPr>
                <w:rFonts w:ascii="Arial" w:hAnsi="Arial"/>
                <w:color w:val="000000"/>
                <w:sz w:val="22"/>
                <w:szCs w:val="22"/>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Fonts w:ascii="Arial" w:hAnsi="Arial"/>
                <w:color w:val="000000"/>
                <w:sz w:val="22"/>
                <w:szCs w:val="22"/>
              </w:rPr>
            </w:pPr>
            <w:r>
              <w:rPr>
                <w:rFonts w:ascii="Arial" w:hAnsi="Arial"/>
                <w:color w:val="000000"/>
                <w:sz w:val="22"/>
                <w:szCs w:val="22"/>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p>
            <w:pPr>
              <w:pStyle w:val="Normal"/>
              <w:rPr>
                <w:b/>
                <w:bCs/>
                <w:kern w:val="2"/>
                <w:szCs w:val="24"/>
              </w:rPr>
            </w:pPr>
            <w:r>
              <w:rPr>
                <w:b/>
                <w:bCs/>
                <w:kern w:val="2"/>
                <w:szCs w:val="24"/>
              </w:rPr>
            </w:r>
          </w:p>
          <w:p>
            <w:pPr>
              <w:pStyle w:val="Normal"/>
              <w:rPr>
                <w:b/>
                <w:bCs/>
                <w:color w:val="FF0000"/>
                <w:kern w:val="2"/>
                <w:szCs w:val="24"/>
              </w:rPr>
            </w:pPr>
            <w:r>
              <w:rPr>
                <w:b/>
                <w:bCs/>
                <w:color w:val="FF0000"/>
                <w:kern w:val="2"/>
                <w:szCs w:val="24"/>
              </w:rPr>
            </w:r>
          </w:p>
          <w:p>
            <w:pPr>
              <w:pStyle w:val="Normal"/>
              <w:rPr>
                <w:b/>
                <w:bCs/>
                <w:kern w:val="2"/>
                <w:szCs w:val="24"/>
              </w:rPr>
            </w:pPr>
            <w:r>
              <w:rPr>
                <w:b/>
                <w:bCs/>
                <w:kern w:val="2"/>
                <w:szCs w:val="24"/>
              </w:rPr>
              <w:t>1.2. Tiekėjas</w:t>
            </w:r>
          </w:p>
          <w:p>
            <w:pPr>
              <w:pStyle w:val="Normal"/>
              <w:rPr>
                <w:color w:val="0070C0"/>
                <w:kern w:val="2"/>
                <w:szCs w:val="24"/>
              </w:rPr>
            </w:pPr>
            <w:r>
              <w:rPr>
                <w:color w:val="0070C0"/>
                <w:kern w:val="2"/>
                <w:szCs w:val="24"/>
              </w:rPr>
            </w:r>
          </w:p>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00000"/>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rStyle w:val="InternetLink8"/>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00000"/>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color w:val="000000"/>
              </w:rPr>
            </w:pPr>
            <w:r>
              <w:rPr>
                <w:color w:val="000000"/>
              </w:rPr>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529"/>
        <w:gridCol w:w="177"/>
        <w:gridCol w:w="2077"/>
        <w:gridCol w:w="4751"/>
      </w:tblGrid>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2. ATSAKINGI ASMENYS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 w:val="22"/>
                <w:szCs w:val="22"/>
              </w:rPr>
            </w:pPr>
            <w:r>
              <w:rPr>
                <w:rFonts w:cs="Arial" w:ascii="Arial" w:hAnsi="Arial"/>
                <w:color w:val="4472C4"/>
                <w:kern w:val="2"/>
                <w:sz w:val="22"/>
                <w:szCs w:val="22"/>
              </w:rPr>
              <w:t>(nurodyti padalinį / skyrių, pareigas, vardą, pavardę, tel., el. paštą)</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rFonts w:ascii="Arial" w:hAnsi="Arial" w:cs="Arial"/>
                <w:color w:val="4472C4"/>
                <w:kern w:val="2"/>
                <w:sz w:val="22"/>
                <w:szCs w:val="22"/>
              </w:rPr>
            </w:pPr>
            <w:hyperlink r:id="rId3">
              <w:r>
                <w:rPr>
                  <w:rStyle w:val="ListLabel2"/>
                  <w:rFonts w:cs="Arial" w:ascii="Arial" w:hAnsi="Arial"/>
                  <w:color w:val="4472C4"/>
                  <w:kern w:val="2"/>
                  <w:sz w:val="22"/>
                  <w:szCs w:val="22"/>
                </w:rPr>
                <w:t>(nurodyti padalinį / skyrių, pareigas, vardą, pavardę, tel., el. paštą)</w:t>
              </w:r>
            </w:hyperlink>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3. SUTARTIES DALYKAS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3.1. Sutarties dalykas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kern w:val="2"/>
                <w:szCs w:val="24"/>
              </w:rPr>
              <w:t>Tiekėja</w:t>
            </w:r>
            <w:r>
              <w:rPr>
                <w:color w:val="000000"/>
                <w:kern w:val="2"/>
                <w:szCs w:val="24"/>
              </w:rPr>
              <w:t>s įsipareigoja Sutartyje numatytomis sąlygomis perduoti Pirkėjui ryšio stiprinimo įrangą:</w:t>
            </w:r>
          </w:p>
          <w:p>
            <w:pPr>
              <w:pStyle w:val="Normal"/>
              <w:jc w:val="both"/>
              <w:rPr>
                <w:color w:val="000000"/>
              </w:rPr>
            </w:pPr>
            <w:r>
              <w:rPr>
                <w:color w:val="000000"/>
                <w:kern w:val="2"/>
                <w:szCs w:val="24"/>
              </w:rPr>
              <w:t xml:space="preserve">Stiprintuvas (800 MHz dažnių juostos)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Stiprintuvas (900 MHz dažnių juostos)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Stiprintuvas (1800 MHz dažnių juostos)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Stiprintuvas (800 MHz ir 900 MHz dažnių juostos)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Stiprintuvas (900 MHz ir 1800 MHz dažnių juostos)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Šakotuvas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Lauko antena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Lauko antenos laikiklis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Vidaus antena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Jungtys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Kabelis </w:t>
            </w:r>
            <w:r>
              <w:rPr>
                <w:rFonts w:cs="Arial" w:ascii="Arial" w:hAnsi="Arial"/>
                <w:i/>
                <w:color w:val="FF0000"/>
                <w:kern w:val="2"/>
                <w:sz w:val="22"/>
                <w:szCs w:val="22"/>
              </w:rPr>
              <w:t>(nurodyti gamintoją ir modelį)</w:t>
            </w:r>
          </w:p>
          <w:p>
            <w:pPr>
              <w:pStyle w:val="Normal"/>
              <w:jc w:val="both"/>
              <w:rPr>
                <w:color w:val="000000"/>
              </w:rPr>
            </w:pPr>
            <w:r>
              <w:rPr>
                <w:color w:val="000000"/>
                <w:kern w:val="2"/>
                <w:szCs w:val="24"/>
              </w:rPr>
              <w:t xml:space="preserve"> </w:t>
            </w:r>
            <w:r>
              <w:rPr>
                <w:color w:val="000000"/>
                <w:kern w:val="2"/>
                <w:szCs w:val="24"/>
              </w:rPr>
              <w:t>(toliau – Prekės), atlikti montavimo; registravimo RRT sistemoje; stiprintuvo paleidimo ir suderinimo bei kitas papildomas paslaugas (toliau – su Prekėmis susijusios Paslaugos).</w:t>
            </w:r>
          </w:p>
          <w:p>
            <w:pPr>
              <w:pStyle w:val="Normal"/>
              <w:jc w:val="both"/>
              <w:rPr>
                <w:color w:val="000000"/>
                <w:kern w:val="2"/>
                <w:szCs w:val="24"/>
              </w:rPr>
            </w:pPr>
            <w:r>
              <w:rPr>
                <w:color w:val="000000"/>
                <w:kern w:val="2"/>
                <w:szCs w:val="24"/>
              </w:rPr>
              <w:t>Išsamus Prekių ir su Prekėmis susijusios Paslaugų aprašymas ir kiti reikalavimai tiekiamoms Prekėms ir su Prekėmis susijusiomis Paslaugoms nustatyti Sutarties priede Nr. 1 „Techninė specifikacija“ (toliau – Techninė specifikacija).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4. PREKIŲ PRISTATYMO TERMINAI IR PREKIŲ PERDAVIMO - PRIĖMIMO TVARKA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4.1. Prekių pristatymo terminai, kai Prekės pristatomos dalimis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color w:val="000000"/>
                <w:kern w:val="2"/>
                <w:szCs w:val="24"/>
              </w:rPr>
              <w:t>Tiekėjas įsipareigoja pristatyti Prekes ir su Prekėmis susijusių paslaugas atlikti Techninėje specifikacijoje  3 skyriuje nustatytais terminais ir sąlygomis.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Tiekėjas turi teisę į Prekių pristatymo ir su Prekėmis susijusių paslaugų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ir su Prekėmis susijusių paslaugų atlikimo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ir su Prekėmis susijusių paslaugų atlikimo terminas gali būti pratęsiamas tik minėtų aplinkybių egzistavimo laikotarpiui, bet ne ilgiau nei 2 (dviejų) savaičių laikotarpiui.</w:t>
            </w:r>
          </w:p>
          <w:p>
            <w:pPr>
              <w:pStyle w:val="Normal"/>
              <w:rPr>
                <w:kern w:val="2"/>
                <w:szCs w:val="24"/>
              </w:rPr>
            </w:pPr>
            <w:r>
              <w:rPr>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894"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4.5. Kartu su Prekėmis pateikiami dokumentai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Kartu su Prekėmis pateikiami šie dokumentai: </w:t>
            </w:r>
            <w:r>
              <w:rPr>
                <w:color w:val="000000"/>
                <w:kern w:val="2"/>
                <w:szCs w:val="24"/>
              </w:rPr>
              <w:t>Prekių perdavimo-priėmimo aktas, Sąskaita. Ti</w:t>
            </w:r>
            <w:r>
              <w:rPr>
                <w:kern w:val="2"/>
                <w:szCs w:val="24"/>
              </w:rPr>
              <w:t>ekėjui nepateikus nurodytų dokumentų, laikoma, kad Prekės neatitinka Sutartyje nustatytų reikalavimų.</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5. SUTARTIES KAINA IR ATSISKAITYMO TVARKA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Fiksuoto įkainio kainodara</w:t>
            </w:r>
          </w:p>
          <w:p>
            <w:pPr>
              <w:pStyle w:val="Normal"/>
              <w:rPr>
                <w:color w:val="4472C4"/>
                <w:kern w:val="2"/>
              </w:rPr>
            </w:pPr>
            <w:r>
              <w:rPr>
                <w:color w:val="4472C4"/>
                <w:kern w:val="2"/>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b/>
                <w:bCs/>
                <w:color w:val="000000"/>
                <w:kern w:val="2"/>
                <w:szCs w:val="24"/>
              </w:rPr>
              <w:t>5.2. Pradinės Sutarties vertė ir Sutarties kaina, kai taikoma fiksuoto įkainio kainodara</w:t>
            </w:r>
          </w:p>
          <w:p>
            <w:pPr>
              <w:pStyle w:val="Normal"/>
              <w:rPr>
                <w:b/>
                <w:bCs/>
                <w:color w:val="000000"/>
                <w:kern w:val="2"/>
                <w:szCs w:val="24"/>
              </w:rPr>
            </w:pPr>
            <w:r>
              <w:rPr>
                <w:b/>
                <w:bCs/>
                <w:color w:val="000000"/>
                <w:kern w:val="2"/>
                <w:szCs w:val="24"/>
              </w:rPr>
            </w:r>
          </w:p>
          <w:p>
            <w:pPr>
              <w:pStyle w:val="Normal"/>
              <w:rPr>
                <w:b/>
                <w:bCs/>
                <w:color w:val="000000"/>
                <w:kern w:val="2"/>
                <w:szCs w:val="24"/>
              </w:rPr>
            </w:pPr>
            <w:r>
              <w:rPr>
                <w:b/>
                <w:bCs/>
                <w:color w:val="000000"/>
                <w:kern w:val="2"/>
                <w:szCs w:val="24"/>
              </w:rPr>
            </w:r>
          </w:p>
          <w:p>
            <w:pPr>
              <w:pStyle w:val="Normal"/>
              <w:rPr>
                <w:b/>
                <w:bCs/>
                <w:color w:val="000000"/>
                <w:kern w:val="2"/>
                <w:szCs w:val="24"/>
              </w:rPr>
            </w:pPr>
            <w:r>
              <w:rPr>
                <w:b/>
                <w:bCs/>
                <w:color w:val="000000"/>
                <w:kern w:val="2"/>
                <w:szCs w:val="24"/>
              </w:rPr>
            </w:r>
          </w:p>
          <w:p>
            <w:pPr>
              <w:pStyle w:val="Normal"/>
              <w:jc w:val="both"/>
              <w:rPr>
                <w:b/>
                <w:bCs/>
                <w:color w:val="000000"/>
                <w:kern w:val="2"/>
                <w:szCs w:val="24"/>
              </w:rPr>
            </w:pPr>
            <w:r>
              <w:rPr>
                <w:b/>
                <w:bCs/>
                <w:color w:val="000000"/>
                <w:kern w:val="2"/>
                <w:szCs w:val="24"/>
              </w:rPr>
            </w:r>
          </w:p>
          <w:p>
            <w:pPr>
              <w:pStyle w:val="Normal"/>
              <w:rPr>
                <w:b/>
                <w:bCs/>
                <w:color w:val="000000"/>
                <w:kern w:val="2"/>
                <w:szCs w:val="24"/>
              </w:rPr>
            </w:pPr>
            <w:r>
              <w:rPr>
                <w:b/>
                <w:bCs/>
                <w:color w:val="000000"/>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rPr>
            </w:pPr>
            <w:r>
              <w:rPr>
                <w:color w:val="000000"/>
                <w:kern w:val="2"/>
                <w:szCs w:val="24"/>
              </w:rPr>
              <w:t>Pradinės Sutarties vertė yra (20 000,00 Eur (dvidešimt tūkstančių eurų, 00 centų) be PVM.</w:t>
            </w:r>
          </w:p>
          <w:p>
            <w:pPr>
              <w:pStyle w:val="Normal"/>
              <w:rPr>
                <w:color w:val="000000"/>
              </w:rPr>
            </w:pPr>
            <w:r>
              <w:rPr>
                <w:color w:val="000000"/>
                <w:kern w:val="2"/>
                <w:szCs w:val="24"/>
              </w:rPr>
              <w:t>PVM sudaro (</w:t>
            </w:r>
            <w:r>
              <w:rPr>
                <w:color w:val="729FCF"/>
                <w:kern w:val="2"/>
                <w:szCs w:val="24"/>
              </w:rPr>
              <w:t>įrašyti skaičiais</w:t>
            </w:r>
            <w:r>
              <w:rPr>
                <w:color w:val="000000"/>
                <w:kern w:val="2"/>
                <w:szCs w:val="24"/>
              </w:rPr>
              <w:t xml:space="preserve">) Eur, ( </w:t>
            </w:r>
            <w:r>
              <w:rPr>
                <w:color w:val="4472C4"/>
                <w:kern w:val="2"/>
                <w:szCs w:val="24"/>
              </w:rPr>
              <w:t>(įrašyti žodžiu</w:t>
            </w:r>
            <w:r>
              <w:rPr>
                <w:color w:val="000000"/>
                <w:kern w:val="2"/>
                <w:szCs w:val="24"/>
              </w:rPr>
              <w:t>).</w:t>
            </w:r>
          </w:p>
          <w:p>
            <w:pPr>
              <w:pStyle w:val="Normal"/>
              <w:rPr>
                <w:color w:val="000000"/>
              </w:rPr>
            </w:pPr>
            <w:r>
              <w:rPr>
                <w:color w:val="000000"/>
                <w:kern w:val="2"/>
                <w:szCs w:val="24"/>
              </w:rPr>
              <w:t>Sutarties kaina yra (</w:t>
            </w:r>
            <w:r>
              <w:rPr>
                <w:color w:val="729FCF"/>
                <w:kern w:val="2"/>
                <w:szCs w:val="24"/>
              </w:rPr>
              <w:t>įrašyti skaičiais</w:t>
            </w:r>
            <w:r>
              <w:rPr>
                <w:color w:val="000000"/>
                <w:kern w:val="2"/>
                <w:szCs w:val="24"/>
              </w:rPr>
              <w:t xml:space="preserve">) Eur </w:t>
            </w:r>
            <w:r>
              <w:rPr>
                <w:color w:val="4472C4"/>
                <w:kern w:val="2"/>
                <w:szCs w:val="24"/>
              </w:rPr>
              <w:t>(įrašyti žodžiu</w:t>
            </w:r>
            <w:r>
              <w:rPr>
                <w:color w:val="000000"/>
                <w:kern w:val="2"/>
                <w:szCs w:val="24"/>
              </w:rPr>
              <w:t>) su PVM.</w:t>
            </w:r>
          </w:p>
          <w:p>
            <w:pPr>
              <w:pStyle w:val="Normal"/>
              <w:rPr>
                <w:color w:val="000000"/>
                <w:kern w:val="2"/>
                <w:szCs w:val="24"/>
              </w:rPr>
            </w:pPr>
            <w:r>
              <w:rPr>
                <w:color w:val="000000"/>
                <w:kern w:val="2"/>
                <w:szCs w:val="24"/>
              </w:rPr>
            </w:r>
          </w:p>
          <w:p>
            <w:pPr>
              <w:pStyle w:val="Normal"/>
              <w:jc w:val="both"/>
              <w:rPr>
                <w:color w:val="000000"/>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ir su Prekėmis susijusių paslaugų įsigijimui Tiekėjo pasiūlyme nurodytais įkainiais be PVM. Pirkėjas perka Prekes ir su Prekėmis susijusių paslaugas pagal poreikį Pasiūlyme Nr. 2 nurodytais įkainiais, neviršijant bendros Sutarties kainos. Pasiūlyme Nr. 2 atskirose eilutėse nurodytas Prekių ir su Prekėmis susijusių paslaugas kiekis gali būti keičiamas (didėti ar mažėti).</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pPr>
              <w:pStyle w:val="Normal"/>
              <w:rPr>
                <w:b/>
                <w:bCs/>
                <w:kern w:val="2"/>
                <w:szCs w:val="24"/>
              </w:rPr>
            </w:pPr>
            <w:r>
              <w:rPr>
                <w:b/>
                <w:bCs/>
                <w:kern w:val="2"/>
                <w:szCs w:val="24"/>
              </w:rPr>
            </w:r>
          </w:p>
          <w:p>
            <w:pPr>
              <w:pStyle w:val="Normal"/>
              <w:rPr>
                <w:kern w:val="2"/>
                <w:szCs w:val="24"/>
              </w:rPr>
            </w:pPr>
            <w:r>
              <w:rPr>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kaina / įkainiai bus perskaičiuojami:</w:t>
            </w:r>
          </w:p>
          <w:p>
            <w:pPr>
              <w:pStyle w:val="Normal"/>
              <w:rPr>
                <w:color w:val="FF0000"/>
                <w:kern w:val="2"/>
                <w:szCs w:val="24"/>
              </w:rPr>
            </w:pPr>
            <w:r>
              <w:rPr>
                <w:kern w:val="2"/>
                <w:szCs w:val="24"/>
              </w:rPr>
              <w:t>5</w:t>
            </w:r>
            <w:r>
              <w:rPr>
                <w:color w:val="000000"/>
                <w:kern w:val="2"/>
                <w:szCs w:val="24"/>
              </w:rPr>
              <w:t>.3.1. dėl PVM tarifo pasikeitimo;</w:t>
            </w:r>
          </w:p>
          <w:p>
            <w:pPr>
              <w:pStyle w:val="Normal"/>
              <w:rPr>
                <w:color w:val="000000"/>
              </w:rPr>
            </w:pPr>
            <w:r>
              <w:rPr>
                <w:color w:val="000000"/>
                <w:kern w:val="2"/>
                <w:szCs w:val="24"/>
              </w:rPr>
              <w:t>5.3.3. dėl kainų lygio pokyčio.</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Jeigu Sutarties vykdymo metu pasikeičia PVM mokėjimą reglamentuojantys teisės aktai, darantys tiesioginę įtaką Tiekėjo tiekiamų Prekių ir </w:t>
            </w:r>
            <w:r>
              <w:rPr>
                <w:color w:val="000000"/>
                <w:kern w:val="2"/>
                <w:szCs w:val="24"/>
              </w:rPr>
              <w:t>su Prekėmis susijusių Paslaugų</w:t>
            </w:r>
            <w:r>
              <w:rPr>
                <w:kern w:val="2"/>
                <w:szCs w:val="24"/>
              </w:rPr>
              <w:t xml:space="preserve"> Sutartyje nurodytai kainai / įkainiams, Sutarties kaina / įkainiai perskaičiuojami nekeičiant Prekių ir </w:t>
            </w:r>
            <w:r>
              <w:rPr>
                <w:color w:val="000000"/>
                <w:kern w:val="2"/>
                <w:szCs w:val="24"/>
              </w:rPr>
              <w:t>su Prekėmis susijusių Paslaugų</w:t>
            </w:r>
            <w:r>
              <w:rPr>
                <w:kern w:val="2"/>
                <w:szCs w:val="24"/>
              </w:rPr>
              <w:t xml:space="preserve"> kainos / įkainio be PVM.</w:t>
            </w:r>
          </w:p>
          <w:p>
            <w:pPr>
              <w:pStyle w:val="Normal"/>
              <w:rPr>
                <w:kern w:val="2"/>
                <w:szCs w:val="24"/>
              </w:rPr>
            </w:pPr>
            <w:r>
              <w:rPr>
                <w:kern w:val="2"/>
                <w:szCs w:val="24"/>
              </w:rPr>
            </w:r>
          </w:p>
          <w:p>
            <w:pPr>
              <w:pStyle w:val="Normal"/>
              <w:jc w:val="both"/>
              <w:rPr>
                <w:kern w:val="2"/>
                <w:szCs w:val="24"/>
              </w:rPr>
            </w:pPr>
            <w:r>
              <w:rPr>
                <w:kern w:val="2"/>
              </w:rPr>
              <w:t>Perskaičiavimas įforminamas Susitarimu ne vėliau kaip per 10 (dešimt) darbo dienų nuo PVM mokėjimą reglamentuojančių teisės aktų pasikeitimo, kuris tampa neatskiriama Sutarties dalimi. Perskaičiuota (-as) Sutarties kaina</w:t>
            </w:r>
            <w:r>
              <w:rPr/>
              <w:t xml:space="preserve"> </w:t>
            </w:r>
            <w:r>
              <w:rPr>
                <w:kern w:val="2"/>
              </w:rPr>
              <w:t>/</w:t>
            </w:r>
            <w:r>
              <w:rPr/>
              <w:t xml:space="preserve"> </w:t>
            </w:r>
            <w:r>
              <w:rPr>
                <w:kern w:val="2"/>
              </w:rPr>
              <w:t xml:space="preserve">įkainis taikoma (-as) už tą Prekių ir </w:t>
            </w:r>
            <w:r>
              <w:rPr>
                <w:color w:val="000000"/>
                <w:kern w:val="2"/>
                <w:szCs w:val="24"/>
              </w:rPr>
              <w:t>su Prekėmis susijusios Paslaugų</w:t>
            </w:r>
            <w:r>
              <w:rPr>
                <w:kern w:val="2"/>
              </w:rPr>
              <w:t xml:space="preserve"> dalį, kurios bus tiekiamos nuo Šalių pasirašyto Susitarimo įsigaliojimo dienos.</w:t>
            </w:r>
          </w:p>
          <w:p>
            <w:pPr>
              <w:pStyle w:val="Normal"/>
              <w:rPr>
                <w:kern w:val="2"/>
                <w:szCs w:val="24"/>
              </w:rPr>
            </w:pPr>
            <w:r>
              <w:rPr>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5.3.3. Sutarties kainos / įkainių peržiūra dėl kainų lygio pokyčio</w:t>
            </w:r>
          </w:p>
          <w:p>
            <w:pPr>
              <w:pStyle w:val="Normal"/>
              <w:rPr>
                <w:b/>
                <w:bCs/>
                <w:kern w:val="2"/>
                <w:szCs w:val="24"/>
              </w:rPr>
            </w:pPr>
            <w:r>
              <w:rPr>
                <w:b/>
                <w:bCs/>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10 procentų arba yra mažesnis nei -10 procentų. Sutarties įkainių peržiūra atliekama ne rečiau kaip kas 6 (šeši) mėnesiai.</w:t>
            </w:r>
          </w:p>
          <w:p>
            <w:pPr>
              <w:pStyle w:val="Normal"/>
              <w:rPr>
                <w:color w:val="000000"/>
              </w:rPr>
            </w:pPr>
            <w:r>
              <w:rPr>
                <w:color w:val="000000"/>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pPr>
              <w:pStyle w:val="Normal"/>
              <w:rPr>
                <w:color w:val="000000"/>
              </w:rPr>
            </w:pPr>
            <w:r>
              <w:rPr>
                <w:color w:val="000000"/>
                <w:kern w:val="2"/>
                <w:szCs w:val="24"/>
              </w:rPr>
              <w:t>5.3.3.3. Jeigu Paslaugų teikimas vėluoja dėl Tiekėjo kaltės, uždelstų suteikti Paslaugų kaina / įkainiai nėra perskaičiuojami dėl kainų lygio kilimo (gali būti mažinami, tačiau negali būti didinami).</w:t>
            </w:r>
          </w:p>
          <w:p>
            <w:pPr>
              <w:pStyle w:val="Normal"/>
              <w:rPr>
                <w:color w:val="000000"/>
              </w:rPr>
            </w:pPr>
            <w:r>
              <w:rPr>
                <w:color w:val="000000"/>
                <w:kern w:val="2"/>
                <w:szCs w:val="24"/>
              </w:rPr>
              <w:t>5.3.3.4. Atlikdamos Sutarties kainos / įkainių peržiūrą Šalys vadovaujasi Valstybės duomenų agentūros viešai Oficialiosios statistikos portale paskelbtais Rodiklių duomenų bazės duomenimis arba kitų oficialių šaltinių duomenimis (https://osp.stat.gov.lt/). Iš kitos Šalies nereikalaujama pateikti oficialaus Valstybės duomenų agentūros ar kitos institucijos išduoto dokumento ar patvirtinimo.</w:t>
            </w:r>
          </w:p>
          <w:p>
            <w:pPr>
              <w:pStyle w:val="Normal"/>
              <w:rPr>
                <w:color w:val="000000"/>
              </w:rPr>
            </w:pPr>
            <w:r>
              <w:rPr>
                <w:color w:val="000000"/>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pPr>
              <w:pStyle w:val="Normal"/>
              <w:rPr>
                <w:color w:val="000000"/>
              </w:rPr>
            </w:pPr>
            <w:r>
              <w:rPr>
                <w:color w:val="000000"/>
                <w:kern w:val="2"/>
                <w:szCs w:val="24"/>
              </w:rPr>
              <w:t>5.3.3.6. Nauja Sutarties kaina / įkainiai apskaičiuojami pagal žemiau pateiktą formulę:</w:t>
            </w:r>
          </w:p>
          <w:p>
            <w:pPr>
              <w:pStyle w:val="Normal"/>
              <w:rPr>
                <w:color w:val="000000"/>
              </w:rPr>
            </w:pPr>
            <w:r>
              <w:rPr>
                <w:color w:val="000000"/>
              </w:rPr>
            </w:r>
          </w:p>
          <w:p>
            <w:pPr>
              <w:pStyle w:val="Normal"/>
              <w:rPr>
                <w:color w:val="000000"/>
              </w:rPr>
            </w:pPr>
            <w:r>
              <w:rPr>
                <w:color w:val="000000"/>
                <w:kern w:val="2"/>
                <w:szCs w:val="24"/>
              </w:rPr>
              <w:t>, kur a – kaina / įkainis (Eur be PVM) (jei peržiūra jau buvo atlikta, tai po paskutinio perskaičiavimo)</w:t>
            </w:r>
          </w:p>
          <w:p>
            <w:pPr>
              <w:pStyle w:val="Normal"/>
              <w:rPr>
                <w:color w:val="000000"/>
              </w:rPr>
            </w:pPr>
            <w:r>
              <w:rPr>
                <w:color w:val="000000"/>
                <w:kern w:val="2"/>
                <w:szCs w:val="24"/>
              </w:rPr>
              <w:t>a1 – perskaičiuota (pakeista) kaina / įkainis (Eur be PVM)</w:t>
            </w:r>
          </w:p>
          <w:p>
            <w:pPr>
              <w:pStyle w:val="Normal"/>
              <w:rPr>
                <w:color w:val="000000"/>
              </w:rPr>
            </w:pPr>
            <w:r>
              <w:rPr>
                <w:color w:val="000000"/>
                <w:kern w:val="2"/>
                <w:szCs w:val="24"/>
              </w:rPr>
              <w:t>k – pagal vartotojų kainų indeksą („CP08 Informacija ir ryšiai“)  apskaičiuotas Vartojimo prekių ir paslaugų kainų pokytis (padidėjimas arba sumažėjimas) (%). „k“ reikšmė skaičiuojama pagal formulę:</w:t>
            </w:r>
          </w:p>
          <w:p>
            <w:pPr>
              <w:pStyle w:val="Normal"/>
              <w:rPr>
                <w:color w:val="000000"/>
              </w:rPr>
            </w:pPr>
            <w:r>
              <w:rPr>
                <w:color w:val="000000"/>
                <w:kern w:val="2"/>
                <w:szCs w:val="24"/>
              </w:rPr>
              <w:t>, (proc.) kur</w:t>
            </w:r>
          </w:p>
          <w:p>
            <w:pPr>
              <w:pStyle w:val="Normal"/>
              <w:rPr>
                <w:color w:val="000000"/>
              </w:rPr>
            </w:pPr>
            <w:r>
              <w:rPr>
                <w:color w:val="000000"/>
                <w:kern w:val="2"/>
                <w:szCs w:val="24"/>
              </w:rPr>
              <w:t>Indnaujausias – kreipimosi dėl kainos / įkainių peržiūros išsiuntimo kitai Šaliai dieną paskelbtas naujausias vartotojų kainų indeksas („CP08 Informacija ir ryšiai“).</w:t>
            </w:r>
          </w:p>
          <w:p>
            <w:pPr>
              <w:pStyle w:val="Normal"/>
              <w:rPr>
                <w:color w:val="000000"/>
              </w:rPr>
            </w:pPr>
            <w:r>
              <w:rPr>
                <w:color w:val="000000"/>
                <w:kern w:val="2"/>
                <w:szCs w:val="24"/>
              </w:rPr>
              <w:t>Indpradžia – laikotarpio pradžios datos (mėnesio) vartotojų kainų indeksas („CP08 Informacija ir ryšiai“).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pPr>
              <w:pStyle w:val="Normal"/>
              <w:rPr>
                <w:color w:val="000000"/>
              </w:rPr>
            </w:pPr>
            <w:r>
              <w:rPr>
                <w:color w:val="000000"/>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pPr>
              <w:pStyle w:val="Normal"/>
              <w:rPr>
                <w:color w:val="000000"/>
              </w:rPr>
            </w:pPr>
            <w:r>
              <w:rPr>
                <w:color w:val="000000"/>
                <w:kern w:val="2"/>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pPr>
              <w:pStyle w:val="Normal"/>
              <w:rPr>
                <w:color w:val="000000"/>
              </w:rPr>
            </w:pPr>
            <w:r>
              <w:rPr>
                <w:color w:val="000000"/>
                <w:kern w:val="2"/>
                <w:szCs w:val="24"/>
              </w:rPr>
              <w:t>5.3.3.9. Susitarimas turi būti sudarytas per 10 (dešimt) darbo dienų nuo Šalies pateikto tinkamo prašymo perskaičiuoti Sutarties kainą / įkainius gavimo dienos.</w:t>
            </w:r>
          </w:p>
          <w:p>
            <w:pPr>
              <w:pStyle w:val="Normal"/>
              <w:rPr>
                <w:color w:val="000000"/>
              </w:rPr>
            </w:pPr>
            <w:r>
              <w:rPr>
                <w:color w:val="000000"/>
                <w:kern w:val="2"/>
                <w:szCs w:val="24"/>
              </w:rPr>
              <w:t>5.3.3.10. Susitarimu Šalys neturi teisės keisti procedūroje nurodytos tvarkos ar kitų Sutarties nuostatų, išskyrus, jei keitimas atliekamas pagal VPĮ nuostatas.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5.5. Atsiskaitymo su Tiekėju terminas ir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Pirkėjas atsiskaito su Tiekėju ne vėliau kaip per 30 (trisdešimt) kalendorinių dienų nuo Sąskaitos gavimo dienos.</w:t>
            </w:r>
          </w:p>
          <w:p>
            <w:pPr>
              <w:pStyle w:val="Normal"/>
              <w:rPr>
                <w:kern w:val="2"/>
                <w:szCs w:val="24"/>
              </w:rPr>
            </w:pPr>
            <w:r>
              <w:rPr>
                <w:kern w:val="2"/>
                <w:szCs w:val="24"/>
              </w:rPr>
            </w:r>
          </w:p>
          <w:p>
            <w:pPr>
              <w:pStyle w:val="Normal"/>
              <w:jc w:val="both"/>
              <w:rPr>
                <w:color w:val="000000"/>
                <w:kern w:val="2"/>
                <w:szCs w:val="24"/>
                <w:shd w:fill="FFFFFF" w:val="clear"/>
              </w:rPr>
            </w:pPr>
            <w:r>
              <w:rPr>
                <w:color w:val="000000"/>
                <w:kern w:val="2"/>
                <w:szCs w:val="24"/>
                <w:shd w:fill="FFFFFF" w:val="clear"/>
              </w:rPr>
              <w:t>Apmokėjimo sąlygos: įvykdžius užsakymą, mokama už konkretų kiekį / apimtį pagal nustatytus įkainius.</w:t>
            </w:r>
          </w:p>
          <w:p>
            <w:pPr>
              <w:pStyle w:val="Normal"/>
              <w:rPr>
                <w:color w:val="000000"/>
                <w:kern w:val="2"/>
                <w:szCs w:val="24"/>
                <w:shd w:fill="FFFFFF" w:val="clear"/>
              </w:rPr>
            </w:pPr>
            <w:r>
              <w:rPr>
                <w:color w:val="000000"/>
                <w:kern w:val="2"/>
                <w:szCs w:val="24"/>
                <w:shd w:fill="FFFFFF" w:val="clear"/>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5.6. Avansas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spacing w:lineRule="auto" w:line="259"/>
              <w:rPr>
                <w:color w:val="000000"/>
                <w:kern w:val="2"/>
                <w:szCs w:val="24"/>
                <w:shd w:fill="FFFFFF" w:val="clear"/>
              </w:rPr>
            </w:pPr>
            <w:r>
              <w:rPr>
                <w:color w:val="000000"/>
                <w:kern w:val="2"/>
                <w:szCs w:val="24"/>
                <w:shd w:fill="FFFFFF" w:val="clear"/>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6. PREKIŲ KOKYBĖ IR GARANTINIAI ĮSIPAREIGOJIMAI</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6.1. Garantinis terminas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Prekėms nustatomas </w:t>
            </w:r>
            <w:r>
              <w:rPr>
                <w:color w:val="FF0000"/>
                <w:kern w:val="2"/>
                <w:szCs w:val="24"/>
              </w:rPr>
              <w:t>Tiekėjo pasiūlytas</w:t>
            </w:r>
            <w:r>
              <w:rPr>
                <w:color w:val="0070C0"/>
                <w:kern w:val="2"/>
                <w:szCs w:val="24"/>
              </w:rPr>
              <w:t xml:space="preserve"> </w:t>
            </w:r>
            <w:r>
              <w:rPr>
                <w:kern w:val="2"/>
                <w:szCs w:val="24"/>
              </w:rPr>
              <w:t xml:space="preserve">garantinis terminas, kuris yra </w:t>
            </w:r>
            <w:r>
              <w:rPr>
                <w:color w:val="4472C4"/>
                <w:kern w:val="2"/>
                <w:szCs w:val="24"/>
              </w:rPr>
              <w:t>(įrašyti terminą mėnesiai)</w:t>
            </w:r>
            <w:r>
              <w:rPr>
                <w:kern w:val="2"/>
                <w:szCs w:val="24"/>
              </w:rPr>
              <w:t>. Garantinis terminas, skaičiuojamas nuo Prekių perdavimo–priėmimo akto ar Sąskaitos (kai Prekių perdavimo–priėmimo aktas nėra pasirašomas) pasirašymo dienos.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Netaikoma</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6.3. Kokybinių kriterijų įgyvendinimo ir tikrinimo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7. SUTARTIES VYKDYMUI PASITELKIAMI SUBTIEKĖJAI</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Sutarties vykdymui subtiekėjai ir (ar) specialistai nepasitelkiami.</w:t>
            </w:r>
          </w:p>
          <w:p>
            <w:pPr>
              <w:pStyle w:val="Normal"/>
              <w:jc w:val="both"/>
              <w:rPr>
                <w:b/>
                <w:bCs/>
                <w:kern w:val="2"/>
                <w:szCs w:val="24"/>
              </w:rPr>
            </w:pPr>
            <w:r>
              <w:rPr>
                <w:b/>
                <w:bCs/>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8. PRIEVOLIŲ PAGAL SUTARTĮ ĮVYKDYMO UŽTIKRINIMAS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rPr>
                <w:kern w:val="2"/>
                <w:szCs w:val="24"/>
              </w:rPr>
            </w:pPr>
            <w:r>
              <w:rPr>
                <w:kern w:val="2"/>
                <w:szCs w:val="24"/>
              </w:rPr>
              <w:t>Netesybomis (delspinigiais, bauda).</w:t>
            </w:r>
          </w:p>
          <w:p>
            <w:pPr>
              <w:pStyle w:val="Normal"/>
              <w:rPr>
                <w:kern w:val="2"/>
                <w:szCs w:val="24"/>
              </w:rPr>
            </w:pPr>
            <w:r>
              <w:rPr>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8.3. Sutarties įvykdymo užtikrinimo pateikimas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9. ŠALIŲ ATSAKOMYBĖ</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rPr>
            </w:pPr>
            <w:r>
              <w:rPr>
                <w:color w:val="000000"/>
                <w:kern w:val="2"/>
              </w:rPr>
              <w:t xml:space="preserve">9.2.1. Jeigu Tiekėjas vėluoja vykdyti užsakymą, tiekti Prekes ar ištaisyti </w:t>
            </w:r>
            <w:r>
              <w:rPr>
                <w:kern w:val="2"/>
              </w:rPr>
              <w:t>jų trūkumus</w:t>
            </w:r>
            <w:r>
              <w:rPr/>
              <w:t xml:space="preserve"> </w:t>
            </w:r>
            <w:r>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pPr>
              <w:pStyle w:val="Normal"/>
              <w:jc w:val="both"/>
              <w:rPr>
                <w:kern w:val="2"/>
                <w:szCs w:val="24"/>
              </w:rPr>
            </w:pPr>
            <w:r>
              <w:rPr>
                <w:color w:val="000000"/>
                <w:szCs w:val="24"/>
              </w:rPr>
              <w:t xml:space="preserve">9.2.2. Jeigu Tiekėjas vėluoja grąžinti dėl Tiekėjui mokėtinos sumos sumažinimo susidariusią permoką pagal Bendrųjų sąlygų 7.4.1.2 punktą, </w:t>
            </w:r>
            <w:r>
              <w:rPr>
                <w:szCs w:val="24"/>
              </w:rPr>
              <w:t>Pirkėjas nuo kitos nei nustatytas terminas dienos Tiekėjui skaičiuoja 0,02 (dvi šimtosios) procento dydžio delspinigius už kiekvieną uždelstą dieną nuo laiku negrąžintos permokos, kainos be PVM.</w:t>
            </w:r>
          </w:p>
          <w:p>
            <w:pPr>
              <w:pStyle w:val="Normal"/>
              <w:jc w:val="both"/>
              <w:rPr>
                <w:b/>
                <w:kern w:val="2"/>
              </w:rPr>
            </w:pPr>
            <w:r>
              <w:rPr>
                <w:color w:val="000000"/>
                <w:kern w:val="2"/>
              </w:rPr>
              <w:t xml:space="preserve">9.2.3. Tiekėjas privalo sumokėti Pirkėjui netesybas per 30(trisdešimt) kalendorinių dienų nuo Pirkėjo pareikalavimo, jeigu netesybų suma nėra </w:t>
            </w:r>
            <w:r>
              <w:rPr/>
              <w:t>išskaitoma iš Tiekėjui mokėtinos sumos.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9.3.1. Nutraukus Sutartį dėl esminio Sutarties pažeidimo, nustatyto Sutarties Specialiosiose sąlygose, mokama 2 (dviejų) procentų dydžio bauda nuo Pradinės Sutarties vertės be PVM, nurodytos Specialiųjų sąlygų 5.2 punkte.</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Cs/>
                <w:color w:val="000000"/>
              </w:rPr>
              <w:t>500 (penki tūkstančiai eurų, 00 centai)</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200 (dviejų šimtų eurų, 00 centai)</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szCs w:val="24"/>
              </w:rPr>
            </w:pPr>
            <w:r>
              <w:rPr>
                <w:bCs/>
              </w:rPr>
              <w:t>3 000 (trys tūkstančiai eurų, 00 centai)</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Netaikoma</w:t>
            </w:r>
          </w:p>
          <w:p>
            <w:pPr>
              <w:pStyle w:val="Normal"/>
              <w:rPr>
                <w:color w:val="4472C4"/>
                <w:kern w:val="2"/>
                <w:szCs w:val="24"/>
              </w:rPr>
            </w:pPr>
            <w:r>
              <w:rPr>
                <w:color w:val="4472C4"/>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color w:val="4472C4"/>
                <w:kern w:val="2"/>
                <w:szCs w:val="24"/>
              </w:rPr>
            </w:pPr>
            <w:r>
              <w:rPr>
                <w:color w:val="4472C4"/>
                <w:kern w:val="2"/>
                <w:szCs w:val="24"/>
              </w:rPr>
            </w:r>
          </w:p>
          <w:p>
            <w:pPr>
              <w:pStyle w:val="Normal"/>
              <w:rPr>
                <w:color w:val="4472C4"/>
                <w:kern w:val="2"/>
                <w:szCs w:val="24"/>
              </w:rPr>
            </w:pPr>
            <w:r>
              <w:rPr>
                <w:color w:val="4472C4"/>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spacing w:lineRule="auto" w:line="259"/>
              <w:rPr>
                <w:kern w:val="2"/>
                <w:szCs w:val="24"/>
              </w:rPr>
            </w:pPr>
            <w:r>
              <w:rPr>
                <w:kern w:val="2"/>
                <w:szCs w:val="24"/>
              </w:rPr>
              <w:t>Netaikoma</w:t>
            </w:r>
          </w:p>
          <w:p>
            <w:pPr>
              <w:pStyle w:val="Normal"/>
              <w:spacing w:lineRule="auto" w:line="259"/>
              <w:rPr>
                <w:kern w:val="2"/>
                <w:sz w:val="22"/>
                <w:szCs w:val="24"/>
              </w:rPr>
            </w:pPr>
            <w:r>
              <w:rPr>
                <w:kern w:val="2"/>
                <w:sz w:val="22"/>
                <w:szCs w:val="24"/>
              </w:rPr>
            </w:r>
          </w:p>
          <w:p>
            <w:pPr>
              <w:pStyle w:val="Normal"/>
              <w:rPr>
                <w:sz w:val="14"/>
                <w:szCs w:val="14"/>
              </w:rPr>
            </w:pPr>
            <w:r>
              <w:rPr>
                <w:sz w:val="14"/>
                <w:szCs w:val="14"/>
              </w:rPr>
            </w:r>
          </w:p>
          <w:p>
            <w:pPr>
              <w:pStyle w:val="Normal"/>
              <w:spacing w:lineRule="auto" w:line="259"/>
              <w:rPr>
                <w:kern w:val="2"/>
                <w:sz w:val="22"/>
                <w:szCs w:val="24"/>
              </w:rPr>
            </w:pPr>
            <w:r>
              <w:rPr>
                <w:kern w:val="2"/>
                <w:sz w:val="22"/>
                <w:szCs w:val="24"/>
              </w:rPr>
            </w:r>
          </w:p>
          <w:p>
            <w:pPr>
              <w:pStyle w:val="Normal"/>
              <w:rPr>
                <w:sz w:val="14"/>
                <w:szCs w:val="14"/>
              </w:rPr>
            </w:pPr>
            <w:r>
              <w:rPr>
                <w:sz w:val="14"/>
                <w:szCs w:val="14"/>
              </w:rPr>
            </w:r>
          </w:p>
          <w:p>
            <w:pPr>
              <w:pStyle w:val="Normal"/>
              <w:rPr>
                <w:color w:val="4472C4"/>
                <w:kern w:val="2"/>
                <w:szCs w:val="24"/>
              </w:rPr>
            </w:pPr>
            <w:r>
              <w:rPr>
                <w:color w:val="4472C4"/>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9.10. Kitos netesybos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themeColor="text1" w:val="000000"/>
                <w:kern w:val="2"/>
                <w:szCs w:val="24"/>
              </w:rPr>
            </w:pPr>
            <w:r>
              <w:rPr>
                <w:color w:themeColor="text1" w:val="000000"/>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kern w:val="2"/>
                <w:szCs w:val="24"/>
              </w:rPr>
              <w:t>10. ESMINĖS SUTARTIES SĄLYGOS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rPr>
            </w:pPr>
            <w:r>
              <w:rPr>
                <w:b/>
                <w:bCs/>
              </w:rPr>
              <w:t>10.1. Esminės Sutarties sąlygos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b/>
                <w:bCs/>
                <w:color w:val="4472C4"/>
                <w:kern w:val="2"/>
                <w:szCs w:val="24"/>
              </w:rPr>
            </w:pPr>
            <w:r>
              <w:rPr>
                <w:color w:val="000000"/>
                <w:kern w:val="2"/>
                <w:szCs w:val="24"/>
              </w:rPr>
              <w:t>Šalys susitaria, kad Sutarties 3.1 p. (Prekių ir su Prekėmis susijusių paslaugų kokybės pažeidimas), ir 4.1 p. (Prekių ir su Prekėmis susijusių paslaugų suteikimo terminų pažeidimas) yra esminės Sutarties sąlygos.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10.2. Dideli arba nuolatiniai esminės Sutarties sąlygos vykdymo trūkumai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10.2.1. Tiekėjo uždelsimas, trunkantis daugiau nei 5 (penkias) darbo dienas, suteikti Prekes ir su Prekėmis susijusių paslaugas Techninės specifikacijoje nurodytais terminais.</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11. SUTARTIES GALIOJIMAS IR KEITIMAS</w:t>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Ši Sutartis laikoma sudaryta ir įsigalioja nuo Sutarties pasirašymo(antrosios Šalies pasirašymo diena) ir užregistravimo dienos.</w:t>
            </w:r>
          </w:p>
          <w:p>
            <w:pPr>
              <w:pStyle w:val="Normal"/>
              <w:jc w:val="both"/>
              <w:rPr>
                <w:color w:val="4472C4"/>
                <w:kern w:val="2"/>
                <w:szCs w:val="24"/>
              </w:rPr>
            </w:pPr>
            <w:r>
              <w:rPr>
                <w:color w:val="000000"/>
                <w:kern w:val="2"/>
                <w:szCs w:val="24"/>
              </w:rPr>
              <w:t>Sutartis galioja iki visiško prievolių įvykdymo (kol bus išnaudota Pradinės Sutarties vertė, bet jos terminas negali būti ilgesnis kaip 13 (trylika) mėnesiai (įskaitant Prekių ir su Prekėmis susijusių paslaugų priėmimo ir apmokėjimo už Prekes ir su Prekėmis susijusių paslaugų terminus).</w:t>
            </w:r>
          </w:p>
          <w:p>
            <w:pPr>
              <w:pStyle w:val="Normal"/>
              <w:rPr>
                <w:color w:val="4472C4"/>
                <w:kern w:val="2"/>
                <w:szCs w:val="24"/>
              </w:rPr>
            </w:pPr>
            <w:r>
              <w:rPr>
                <w:color w:val="4472C4"/>
                <w:kern w:val="2"/>
                <w:szCs w:val="24"/>
              </w:rPr>
            </w:r>
          </w:p>
          <w:p>
            <w:pPr>
              <w:pStyle w:val="Normal"/>
              <w:rPr>
                <w:color w:val="4472C4"/>
                <w:kern w:val="2"/>
                <w:szCs w:val="24"/>
              </w:rPr>
            </w:pPr>
            <w:r>
              <w:rPr>
                <w:color w:val="4472C4"/>
                <w:kern w:val="2"/>
                <w:szCs w:val="24"/>
              </w:rPr>
            </w:r>
          </w:p>
        </w:tc>
      </w:tr>
      <w:tr>
        <w:trPr>
          <w:trHeight w:val="300" w:hRule="atLeast"/>
        </w:trPr>
        <w:tc>
          <w:tcPr>
            <w:tcW w:w="2706"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12. SUTARTIES NUTRAUKIMAS</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12.1. Sutarties nutraukimo pagrindai</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Sutartis gali būti nutraukiama rašytiniu Šalių susitarimu arba vienašališkai, Bendrosiose sąlygose nustatyta tvarka.</w:t>
            </w:r>
          </w:p>
          <w:p>
            <w:pPr>
              <w:pStyle w:val="Normal"/>
              <w:rPr>
                <w:kern w:val="2"/>
                <w:szCs w:val="24"/>
              </w:rPr>
            </w:pPr>
            <w:r>
              <w:rPr>
                <w:kern w:val="2"/>
                <w:szCs w:val="24"/>
              </w:rPr>
            </w:r>
          </w:p>
          <w:p>
            <w:pPr>
              <w:pStyle w:val="Normal"/>
              <w:rPr>
                <w:color w:val="4472C4"/>
                <w:kern w:val="2"/>
                <w:szCs w:val="24"/>
              </w:rPr>
            </w:pPr>
            <w:r>
              <w:rPr>
                <w:color w:val="4472C4"/>
                <w:kern w:val="2"/>
                <w:szCs w:val="24"/>
              </w:rPr>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12.2. Esminiai Sutarties pažeidimai</w:t>
            </w:r>
          </w:p>
          <w:p>
            <w:pPr>
              <w:pStyle w:val="Normal"/>
              <w:rPr>
                <w:b/>
                <w:bCs/>
                <w:kern w:val="2"/>
                <w:szCs w:val="24"/>
              </w:rPr>
            </w:pPr>
            <w:r>
              <w:rPr>
                <w:b/>
                <w:bCs/>
                <w:kern w:val="2"/>
                <w:szCs w:val="24"/>
              </w:rPr>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12.2.1. jeigu Tiekėjas nevykdo prisiimtų įsipareigojimų už Sutartyje nustatytą Sutarties kainą / įkainius;</w:t>
            </w:r>
          </w:p>
          <w:p>
            <w:pPr>
              <w:pStyle w:val="Normal"/>
              <w:spacing w:lineRule="auto" w:line="252"/>
              <w:jc w:val="both"/>
              <w:rPr>
                <w:rFonts w:eastAsia="Arial"/>
                <w:kern w:val="2"/>
                <w:szCs w:val="24"/>
              </w:rPr>
            </w:pPr>
            <w:r>
              <w:rPr>
                <w:rFonts w:eastAsia="Arial"/>
                <w:kern w:val="2"/>
                <w:szCs w:val="24"/>
              </w:rPr>
              <w:t xml:space="preserve">12.2.2. jeigu Tiekėjas nesilaiko Sutartyje nustatytų Prekių ir </w:t>
            </w:r>
            <w:r>
              <w:rPr>
                <w:rFonts w:eastAsia="Arial"/>
                <w:color w:val="000000"/>
                <w:kern w:val="2"/>
                <w:szCs w:val="24"/>
              </w:rPr>
              <w:t>su Prekėmis susijusios Paslaugų</w:t>
            </w:r>
            <w:r>
              <w:rPr>
                <w:rFonts w:eastAsia="Arial"/>
                <w:kern w:val="2"/>
                <w:szCs w:val="24"/>
              </w:rPr>
              <w:t xml:space="preserve"> tiekimo terminų 2 (du) kartus iš eilės arba vėluoja pristatyti Prekes daugiau nei 30 (trisdešimt) darbo dienų nuo Sutartyje nustatyto Prekių pristatymo termino;</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 xml:space="preserve">12.2.3. jeigu Tiekėjas pažeidžia Prekių pristatymo ir </w:t>
            </w:r>
            <w:r>
              <w:rPr>
                <w:rFonts w:eastAsia="Arial"/>
                <w:color w:val="000000"/>
                <w:kern w:val="2"/>
                <w:szCs w:val="24"/>
              </w:rPr>
              <w:t>su Prekėmis susijusios Paslaugų</w:t>
            </w:r>
            <w:r>
              <w:rPr>
                <w:rFonts w:eastAsia="Arial"/>
                <w:kern w:val="2"/>
                <w:szCs w:val="24"/>
              </w:rPr>
              <w:t xml:space="preserve">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 xml:space="preserve">12.2.4. Tiekėjas pažeidžia Prekių pristatymo ir </w:t>
            </w:r>
            <w:r>
              <w:rPr>
                <w:rFonts w:eastAsia="Arial"/>
                <w:color w:val="000000"/>
                <w:kern w:val="2"/>
                <w:szCs w:val="24"/>
              </w:rPr>
              <w:t>su Prekėmis susijusios Paslaugų</w:t>
            </w:r>
            <w:r>
              <w:rPr>
                <w:rFonts w:eastAsia="Arial"/>
                <w:kern w:val="2"/>
                <w:szCs w:val="24"/>
              </w:rPr>
              <w:t xml:space="preserve"> terminus ir dėl Prekių pristatymo ir </w:t>
            </w:r>
            <w:r>
              <w:rPr>
                <w:rFonts w:eastAsia="Arial"/>
                <w:color w:val="000000"/>
                <w:kern w:val="2"/>
                <w:szCs w:val="24"/>
              </w:rPr>
              <w:t>su Prekėmis susijusios Paslaugų</w:t>
            </w:r>
            <w:r>
              <w:rPr>
                <w:rFonts w:eastAsia="Arial"/>
                <w:kern w:val="2"/>
                <w:szCs w:val="24"/>
              </w:rPr>
              <w:t xml:space="preserve"> vėlavimo Prekės ir </w:t>
            </w:r>
            <w:r>
              <w:rPr>
                <w:rFonts w:eastAsia="Arial"/>
                <w:color w:val="000000"/>
                <w:kern w:val="2"/>
                <w:szCs w:val="24"/>
              </w:rPr>
              <w:t>su Prekėmis susijusios Paslaugos</w:t>
            </w:r>
            <w:r>
              <w:rPr>
                <w:rFonts w:eastAsia="Arial"/>
                <w:kern w:val="2"/>
                <w:szCs w:val="24"/>
              </w:rPr>
              <w:t xml:space="preserve">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12.2.5. Tiekėjas daugiau kaip 2 (du) kartus pristato Prekes, kurios neatitinka Sutartyje ir (ar) Įstatymuose nustatytų reikalavimų Prekėms;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szCs w:val="24"/>
              </w:rPr>
              <w:t>12.2.6. Tiekėjas pažeidžia šios Sutarties nuostatas, reglamentuojančias konkurenciją, intelektinės nuosavybės ar konfidencialios informacijos valdymą;</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kern w:val="2"/>
                <w:szCs w:val="24"/>
              </w:rPr>
            </w:pPr>
            <w:r>
              <w:rPr>
                <w:rFonts w:eastAsia="Arial"/>
                <w:kern w:val="2"/>
              </w:rPr>
              <w:t>12.2.7. Tiekėjas 2 (du) kartus pažeidžia esminę Sutarties sąlygą.</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bCs/>
                <w:kern w:val="2"/>
                <w:szCs w:val="24"/>
              </w:rPr>
              <w:t>13. APLINKOSAUGINIAI IR SOCIALINIAI KRITERIJAI</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13.1. Aplinkosauginių kriterijų nustatymo teisinis pagrindas</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color w:val="000000"/>
                <w:kern w:val="2"/>
                <w:szCs w:val="24"/>
                <w:shd w:fill="FFFFFF" w:val="clear"/>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fill="FFFFFF" w:val="clear"/>
              </w:rPr>
              <w:t> „Dėl Aplinkos apsaugos kriterijų taikymo, vykdant žaliuosius pirkimus, tvarkos aprašo patvirtinimo“ (toliau – Tvarkos aprašas) 4.4.4. punktu:</w:t>
            </w:r>
          </w:p>
          <w:p>
            <w:pPr>
              <w:pStyle w:val="Normal"/>
              <w:jc w:val="both"/>
              <w:rPr/>
            </w:pPr>
            <w:r>
              <w:rPr>
                <w:color w:val="000000"/>
                <w:kern w:val="2"/>
                <w:szCs w:val="24"/>
              </w:rPr>
              <w:t>- prekė yra tvirta, ilgaamžė, funkcionali, ji ar jos sudedamosios dalys tinka naudoti daug kartų ir (ar) lengvai pataisomos, ir (ar) pakeičiamos. Tiekėjas turi užtikrinti galimybę įsigyti siūlomų prekių originalių (arba joms lygiaverčių) atsarginių dalių (jų tiekimą rinkai) ne trumpiau kaip 2 metus nuo prekių garantinio laikotarpio pabaigos, išskyrus atvejus, kai siūlomos prekių originalios (ar joms lygiavertės) atsarginės dalys dėl objektyvių priežasčių negali būti tiekiamos Lietuvos Respublikos rinkai;</w:t>
            </w:r>
          </w:p>
          <w:p>
            <w:pPr>
              <w:pStyle w:val="Normal"/>
              <w:jc w:val="both"/>
              <w:rPr/>
            </w:pPr>
            <w:r>
              <w:rPr>
                <w:color w:val="000000"/>
                <w:kern w:val="2"/>
                <w:szCs w:val="24"/>
              </w:rPr>
              <w:t>- dokumentacija teikiama Tiekėjui ir Pirkėjui elektroninėmis priemonėmis (elektoriniu paštu ar kt.). Išimtiniais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nurodytus Tvarkos aprašo 2 priedo 1 skyriaus 1.1. ir 1.2. punktuose.</w:t>
            </w:r>
          </w:p>
          <w:p>
            <w:pPr>
              <w:pStyle w:val="Normal"/>
              <w:rPr>
                <w:color w:val="000000"/>
                <w:kern w:val="2"/>
                <w:szCs w:val="24"/>
                <w:shd w:fill="FFFFFF" w:val="clear"/>
              </w:rPr>
            </w:pPr>
            <w:r>
              <w:rPr>
                <w:color w:val="000000"/>
                <w:kern w:val="2"/>
                <w:szCs w:val="24"/>
                <w:shd w:fill="FFFFFF" w:val="clear"/>
              </w:rPr>
            </w:r>
          </w:p>
          <w:p>
            <w:pPr>
              <w:pStyle w:val="Normal"/>
              <w:jc w:val="both"/>
              <w:rPr>
                <w:color w:val="000000"/>
                <w:kern w:val="2"/>
                <w:szCs w:val="24"/>
                <w:shd w:fill="FFFFFF" w:val="clear"/>
              </w:rPr>
            </w:pPr>
            <w:r>
              <w:rPr>
                <w:color w:val="000000"/>
                <w:kern w:val="2"/>
                <w:szCs w:val="24"/>
                <w:shd w:fill="FFFFFF" w:val="clear"/>
              </w:rPr>
              <w:t>Nustačius, kad Tiekėjas šiame papunktyje nustatyto kriterijaus (-jų) nesilaiko, Tiekėjui taikoma Specialiųjų sąlygų 9.5 punkte nurodyto dydžio bauda.</w:t>
            </w:r>
          </w:p>
          <w:p>
            <w:pPr>
              <w:pStyle w:val="Normal"/>
              <w:rPr>
                <w:b/>
                <w:bCs/>
                <w:kern w:val="2"/>
                <w:szCs w:val="24"/>
              </w:rPr>
            </w:pPr>
            <w:r>
              <w:rPr>
                <w:b/>
                <w:bCs/>
                <w:kern w:val="2"/>
                <w:szCs w:val="24"/>
              </w:rPr>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13.2.  Su perkamomis Prekėmis susiję socialiniai kriterijai</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0070C0"/>
                <w:kern w:val="2"/>
                <w:szCs w:val="24"/>
              </w:rPr>
            </w:pPr>
            <w:r>
              <w:rPr>
                <w:color w:val="0070C0"/>
                <w:kern w:val="2"/>
                <w:szCs w:val="24"/>
              </w:rPr>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14. BENDRŲJŲ SĄLYGŲ PAKEITIMAI IR PAPILDYMAI</w:t>
            </w:r>
          </w:p>
          <w:p>
            <w:pPr>
              <w:pStyle w:val="Normal"/>
              <w:jc w:val="center"/>
              <w:rPr>
                <w:kern w:val="2"/>
                <w:szCs w:val="24"/>
              </w:rPr>
            </w:pPr>
            <w:r>
              <w:rPr>
                <w:kern w:val="2"/>
                <w:szCs w:val="24"/>
              </w:rPr>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14.1.</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pakeisti nurodytą Sutarties Bendrųjų sąlygų punktą ir išdėstyti jį nauja redakcija:</w:t>
            </w:r>
          </w:p>
          <w:p>
            <w:pPr>
              <w:pStyle w:val="Normal"/>
              <w:jc w:val="both"/>
              <w:rPr>
                <w:kern w:val="2"/>
                <w:szCs w:val="24"/>
              </w:rPr>
            </w:pPr>
            <w:r>
              <w:rPr>
                <w:kern w:val="2"/>
                <w:szCs w:val="24"/>
              </w:rPr>
              <w:t>„</w:t>
            </w:r>
            <w:r>
              <w:rPr>
                <w:kern w:val="2"/>
                <w:szCs w:val="24"/>
              </w:rPr>
              <w:t>14.1.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14.2.</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szCs w:val="24"/>
              </w:rPr>
              <w:t>Šalys susitaria papildyti Sutarties Bendrąsias sąlygas nurodytu punktu:</w:t>
            </w:r>
          </w:p>
          <w:p>
            <w:pPr>
              <w:pStyle w:val="Normal"/>
              <w:jc w:val="both"/>
              <w:rPr>
                <w:kern w:val="2"/>
                <w:szCs w:val="24"/>
              </w:rPr>
            </w:pPr>
            <w:r>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Pr>
                <w:rFonts w:eastAsia="Aptos"/>
                <w:iCs/>
                <w:szCs w:val="24"/>
              </w:rPr>
              <w:t>(Sutarties Specialiųjų sąlygų priedas Nr. 3 „Įsipareigojimas neatskleisti konfidencialios informacijos“)</w:t>
            </w:r>
            <w:r>
              <w:rPr>
                <w:i/>
                <w:iCs/>
                <w:szCs w:val="24"/>
              </w:rPr>
              <w:t>.</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rPr>
                <w:b/>
                <w:kern w:val="2"/>
                <w:szCs w:val="24"/>
              </w:rPr>
            </w:pPr>
            <w:r>
              <w:rPr>
                <w:b/>
                <w:kern w:val="2"/>
                <w:szCs w:val="24"/>
              </w:rPr>
              <w:t>14.3.</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nurodytais punktais, tačiau kitų punktų numeracijos nekeisti:</w:t>
            </w:r>
          </w:p>
          <w:p>
            <w:pPr>
              <w:pStyle w:val="Normal"/>
              <w:jc w:val="both"/>
              <w:rPr>
                <w:kern w:val="2"/>
                <w:szCs w:val="24"/>
              </w:rPr>
            </w:pPr>
            <w:r>
              <w:rPr>
                <w:kern w:val="2"/>
                <w:szCs w:val="24"/>
              </w:rPr>
              <w:t>„</w:t>
            </w:r>
            <w:r>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4">
              <w:r>
                <w:rPr>
                  <w:rStyle w:val="Hyperlink"/>
                  <w:kern w:val="2"/>
                  <w:szCs w:val="24"/>
                </w:rPr>
                <w:t>https://vmu.lt/wp-content/uploads/2021/08/Antikorupcine-politika.pdf</w:t>
              </w:r>
            </w:hyperlink>
            <w:r>
              <w:rPr>
                <w:kern w:val="2"/>
                <w:szCs w:val="24"/>
              </w:rPr>
              <w:t>.</w:t>
            </w:r>
          </w:p>
          <w:p>
            <w:pPr>
              <w:pStyle w:val="Normal"/>
              <w:jc w:val="both"/>
              <w:rPr>
                <w:kern w:val="2"/>
                <w:szCs w:val="24"/>
              </w:rPr>
            </w:pPr>
            <w:r>
              <w:rPr>
                <w:kern w:val="2"/>
                <w:szCs w:val="24"/>
              </w:rPr>
              <w:t xml:space="preserve">16.6. Dovanų politika – dokumentas, kuriuo apibrėžiamos valstybės įmonės Valstybinių miškų urėdijos darbuotojų elgesio su dovanomis ir neteisėtu atlygiu principinės nuostatos. Su dokumentu galima susipažinti </w:t>
            </w:r>
            <w:hyperlink r:id="rId5">
              <w:r>
                <w:rPr>
                  <w:rStyle w:val="Hyperlink"/>
                  <w:kern w:val="2"/>
                  <w:szCs w:val="24"/>
                </w:rPr>
                <w:t>https://vmu.lt/wp-content/uploads/2022/09/Dovanu-politika1.pdf</w:t>
              </w:r>
            </w:hyperlink>
            <w:r>
              <w:rPr>
                <w:kern w:val="2"/>
                <w:szCs w:val="24"/>
              </w:rPr>
              <w:t>.</w:t>
            </w:r>
          </w:p>
          <w:p>
            <w:pPr>
              <w:pStyle w:val="Normal"/>
              <w:jc w:val="both"/>
              <w:rPr>
                <w:kern w:val="2"/>
                <w:szCs w:val="24"/>
              </w:rPr>
            </w:pPr>
            <w:r>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6">
              <w:r>
                <w:rPr>
                  <w:rStyle w:val="Hyperlink"/>
                  <w:kern w:val="2"/>
                  <w:szCs w:val="24"/>
                </w:rPr>
                <w:t>https://vmu.lt/wp-content/uploads/2021/08/Interesu-konfliktu-vengimo-politika.pdf</w:t>
              </w:r>
            </w:hyperlink>
            <w:r>
              <w:rPr>
                <w:kern w:val="2"/>
                <w:szCs w:val="24"/>
              </w:rPr>
              <w:t>.</w:t>
            </w:r>
          </w:p>
          <w:p>
            <w:pPr>
              <w:pStyle w:val="Normal"/>
              <w:jc w:val="both"/>
              <w:rPr>
                <w:kern w:val="2"/>
                <w:szCs w:val="24"/>
              </w:rPr>
            </w:pPr>
            <w:r>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7">
              <w:r>
                <w:rPr>
                  <w:rStyle w:val="Hyperlink"/>
                  <w:kern w:val="2"/>
                  <w:szCs w:val="24"/>
                </w:rPr>
                <w:t>https://vmu.lt/korupcijos-prevencija/</w:t>
              </w:r>
            </w:hyperlink>
            <w:r>
              <w:rPr>
                <w:kern w:val="2"/>
                <w:szCs w:val="24"/>
              </w:rPr>
              <w:t>, skiltis „Tiekėjų elgesio kodeksas ir kiti reikalavimai VMU veiklos partneriams“).</w:t>
            </w:r>
          </w:p>
          <w:p>
            <w:pPr>
              <w:pStyle w:val="Normal"/>
              <w:jc w:val="both"/>
              <w:rPr>
                <w:kern w:val="2"/>
                <w:szCs w:val="24"/>
              </w:rPr>
            </w:pPr>
            <w:r>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kern w:val="2"/>
                <w:szCs w:val="24"/>
              </w:rPr>
            </w:pPr>
            <w:r>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kern w:val="2"/>
                <w:szCs w:val="24"/>
              </w:rPr>
            </w:pPr>
            <w:r>
              <w:rPr>
                <w:kern w:val="2"/>
                <w:szCs w:val="24"/>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kern w:val="2"/>
                <w:szCs w:val="24"/>
              </w:rPr>
            </w:pPr>
            <w:r>
              <w:rPr>
                <w:kern w:val="2"/>
                <w:szCs w:val="24"/>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trPr>
          <w:trHeight w:val="300" w:hRule="atLeast"/>
        </w:trPr>
        <w:tc>
          <w:tcPr>
            <w:tcW w:w="2529" w:type="dxa"/>
            <w:tcBorders>
              <w:left w:val="single" w:sz="4" w:space="0" w:color="000000"/>
              <w:bottom w:val="single" w:sz="4" w:space="0" w:color="000000"/>
              <w:right w:val="single" w:sz="4" w:space="0" w:color="000000"/>
            </w:tcBorders>
          </w:tcPr>
          <w:p>
            <w:pPr>
              <w:pStyle w:val="Normal"/>
              <w:rPr>
                <w:b/>
                <w:kern w:val="2"/>
                <w:szCs w:val="24"/>
              </w:rPr>
            </w:pPr>
            <w:r>
              <w:rPr>
                <w:b/>
                <w:kern w:val="2"/>
                <w:szCs w:val="24"/>
              </w:rPr>
              <w:t>14.4.</w:t>
            </w:r>
          </w:p>
        </w:tc>
        <w:tc>
          <w:tcPr>
            <w:tcW w:w="7005" w:type="dxa"/>
            <w:gridSpan w:val="3"/>
            <w:tcBorders>
              <w:left w:val="single" w:sz="4" w:space="0" w:color="000000"/>
              <w:bottom w:val="single" w:sz="4" w:space="0" w:color="000000"/>
              <w:right w:val="single" w:sz="4" w:space="0" w:color="000000"/>
            </w:tcBorders>
          </w:tcPr>
          <w:p>
            <w:pPr>
              <w:pStyle w:val="Normal"/>
              <w:jc w:val="both"/>
              <w:rPr>
                <w:kern w:val="2"/>
                <w:szCs w:val="24"/>
              </w:rPr>
            </w:pPr>
            <w:r>
              <w:rPr>
                <w:kern w:val="2"/>
                <w:szCs w:val="24"/>
              </w:rPr>
              <w:t>Šalys susitaria papildyti Sutarties Bendrąsias sąlygas 26 skyriumi „Baigiamosios nuostatos“:</w:t>
            </w:r>
          </w:p>
          <w:p>
            <w:pPr>
              <w:pStyle w:val="Normal"/>
              <w:jc w:val="both"/>
              <w:rPr>
                <w:color w:val="0070C0"/>
                <w:kern w:val="2"/>
                <w:szCs w:val="24"/>
              </w:rPr>
            </w:pPr>
            <w:r>
              <w:rPr>
                <w:kern w:val="2"/>
                <w:szCs w:val="24"/>
              </w:rPr>
              <w:t>„</w:t>
            </w:r>
            <w:r>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2529" w:type="dxa"/>
            <w:tcBorders>
              <w:left w:val="single" w:sz="4" w:space="0" w:color="000000"/>
              <w:bottom w:val="single" w:sz="4" w:space="0" w:color="000000"/>
              <w:right w:val="single" w:sz="4" w:space="0" w:color="000000"/>
            </w:tcBorders>
          </w:tcPr>
          <w:p>
            <w:pPr>
              <w:pStyle w:val="Normal"/>
              <w:rPr>
                <w:b/>
                <w:kern w:val="2"/>
                <w:szCs w:val="24"/>
              </w:rPr>
            </w:pPr>
            <w:r>
              <w:rPr>
                <w:b/>
                <w:kern w:val="2"/>
                <w:szCs w:val="24"/>
              </w:rPr>
              <w:t>14.5.</w:t>
            </w:r>
          </w:p>
        </w:tc>
        <w:tc>
          <w:tcPr>
            <w:tcW w:w="7005" w:type="dxa"/>
            <w:gridSpan w:val="3"/>
            <w:tcBorders>
              <w:left w:val="single" w:sz="4" w:space="0" w:color="000000"/>
              <w:bottom w:val="single" w:sz="4" w:space="0" w:color="000000"/>
              <w:right w:val="single" w:sz="4" w:space="0" w:color="000000"/>
            </w:tcBorders>
          </w:tcPr>
          <w:p>
            <w:pPr>
              <w:pStyle w:val="Normal"/>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 SUTARTIES PRIEDAI</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15.1. Priedas Nr. 1</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Techninė specifikacija</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15.2. Priedas Nr. 2</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bCs/>
                <w:kern w:val="2"/>
                <w:szCs w:val="24"/>
              </w:rPr>
              <w:t>Pasiūlymas</w:t>
            </w:r>
          </w:p>
        </w:tc>
      </w:tr>
      <w:tr>
        <w:trPr>
          <w:trHeight w:val="300" w:hRule="atLeast"/>
        </w:trPr>
        <w:tc>
          <w:tcPr>
            <w:tcW w:w="2529" w:type="dxa"/>
            <w:tcBorders>
              <w:top w:val="single" w:sz="4" w:space="0" w:color="000000"/>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15.3. Priedas Nr. 3</w:t>
            </w:r>
          </w:p>
        </w:tc>
        <w:tc>
          <w:tcPr>
            <w:tcW w:w="7005" w:type="dxa"/>
            <w:gridSpan w:val="3"/>
            <w:tcBorders>
              <w:top w:val="single" w:sz="4" w:space="0" w:color="000000"/>
              <w:left w:val="single" w:sz="4" w:space="0" w:color="000000"/>
              <w:bottom w:val="single" w:sz="4" w:space="0" w:color="000000"/>
              <w:right w:val="single" w:sz="4" w:space="0" w:color="000000"/>
            </w:tcBorders>
          </w:tcPr>
          <w:p>
            <w:pPr>
              <w:pStyle w:val="Normal"/>
              <w:rPr>
                <w:bCs/>
                <w:kern w:val="2"/>
                <w:szCs w:val="24"/>
              </w:rPr>
            </w:pPr>
            <w:r>
              <w:rPr>
                <w:rFonts w:eastAsia="Aptos"/>
                <w:bCs/>
                <w:iCs/>
                <w:szCs w:val="24"/>
              </w:rPr>
              <w:t>Įsipareigojimas neatskleisti konfidencialios informacijos</w:t>
            </w:r>
          </w:p>
        </w:tc>
      </w:tr>
      <w:tr>
        <w:trPr>
          <w:trHeight w:val="300" w:hRule="atLeast"/>
        </w:trPr>
        <w:tc>
          <w:tcPr>
            <w:tcW w:w="2529" w:type="dxa"/>
            <w:tcBorders>
              <w:left w:val="single" w:sz="4" w:space="0" w:color="000000"/>
              <w:bottom w:val="single" w:sz="4" w:space="0" w:color="000000"/>
              <w:right w:val="single" w:sz="4" w:space="0" w:color="000000"/>
            </w:tcBorders>
          </w:tcPr>
          <w:p>
            <w:pPr>
              <w:pStyle w:val="Normal"/>
              <w:jc w:val="center"/>
              <w:rPr>
                <w:b/>
                <w:kern w:val="2"/>
                <w:szCs w:val="24"/>
              </w:rPr>
            </w:pPr>
            <w:r>
              <w:rPr>
                <w:b/>
                <w:kern w:val="2"/>
                <w:szCs w:val="24"/>
              </w:rPr>
              <w:t>15.4. Priedas Nr. 4</w:t>
            </w:r>
          </w:p>
        </w:tc>
        <w:tc>
          <w:tcPr>
            <w:tcW w:w="7005" w:type="dxa"/>
            <w:gridSpan w:val="3"/>
            <w:tcBorders>
              <w:left w:val="single" w:sz="4" w:space="0" w:color="000000"/>
              <w:bottom w:val="single" w:sz="4" w:space="0" w:color="000000"/>
              <w:right w:val="single" w:sz="4" w:space="0" w:color="000000"/>
            </w:tcBorders>
          </w:tcPr>
          <w:p>
            <w:pPr>
              <w:pStyle w:val="Normal"/>
              <w:rPr>
                <w:rFonts w:eastAsia="Aptos"/>
                <w:bCs/>
                <w:iCs/>
                <w:szCs w:val="24"/>
              </w:rPr>
            </w:pPr>
            <w:r>
              <w:rPr>
                <w:rFonts w:eastAsia="Aptos"/>
                <w:bCs/>
                <w:iCs/>
                <w:szCs w:val="24"/>
              </w:rPr>
              <w:t>Bendrosios sutarties sąlygos</w:t>
            </w:r>
          </w:p>
        </w:tc>
      </w:tr>
      <w:tr>
        <w:trPr/>
        <w:tc>
          <w:tcPr>
            <w:tcW w:w="9534"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16. ŠALIŲ ATSTOVŲ PARAŠAI</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PIRKĖJAS</w:t>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TIEKĖJAS</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4472C4"/>
                <w:kern w:val="2"/>
                <w:szCs w:val="24"/>
              </w:rPr>
              <w:t>(nurodomos atstovo pareigos, vardas, pavardė)</w:t>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color w:val="4472C4"/>
                <w:kern w:val="2"/>
                <w:szCs w:val="24"/>
              </w:rPr>
              <w:t>(nurodomos atstovo pareigos, vardas, pavardė)</w:t>
            </w:r>
          </w:p>
        </w:tc>
      </w:tr>
      <w:tr>
        <w:trPr/>
        <w:tc>
          <w:tcPr>
            <w:tcW w:w="4783"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Cs w:val="24"/>
              </w:rPr>
            </w:pPr>
            <w:r>
              <w:rPr>
                <w:b/>
                <w:bCs/>
                <w:color w:val="4472C4"/>
                <w:kern w:val="2"/>
                <w:szCs w:val="24"/>
              </w:rPr>
            </w:r>
          </w:p>
          <w:p>
            <w:pPr>
              <w:pStyle w:val="Normal"/>
              <w:jc w:val="center"/>
              <w:rPr>
                <w:b/>
                <w:bCs/>
                <w:color w:val="4472C4"/>
                <w:kern w:val="2"/>
                <w:szCs w:val="24"/>
              </w:rPr>
            </w:pPr>
            <w:r>
              <w:rPr>
                <w:b/>
                <w:bCs/>
                <w:color w:val="4472C4"/>
                <w:kern w:val="2"/>
                <w:szCs w:val="24"/>
              </w:rPr>
              <w:t>(parašas)</w:t>
            </w:r>
          </w:p>
          <w:p>
            <w:pPr>
              <w:pStyle w:val="Normal"/>
              <w:rPr/>
            </w:pPr>
            <w:r>
              <w:rPr/>
            </w:r>
          </w:p>
          <w:p>
            <w:pPr>
              <w:pStyle w:val="Normal"/>
              <w:jc w:val="center"/>
              <w:rPr>
                <w:b/>
                <w:bCs/>
                <w:color w:val="4472C4"/>
                <w:kern w:val="2"/>
                <w:szCs w:val="24"/>
              </w:rPr>
            </w:pPr>
            <w:r>
              <w:rPr>
                <w:b/>
                <w:bCs/>
                <w:color w:val="4472C4"/>
                <w:kern w:val="2"/>
                <w:szCs w:val="24"/>
              </w:rPr>
            </w:r>
          </w:p>
        </w:tc>
        <w:tc>
          <w:tcPr>
            <w:tcW w:w="4751"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Cs w:val="24"/>
              </w:rPr>
            </w:pPr>
            <w:r>
              <w:rPr>
                <w:b/>
                <w:bCs/>
                <w:color w:val="4472C4"/>
                <w:kern w:val="2"/>
                <w:szCs w:val="24"/>
              </w:rPr>
            </w:r>
          </w:p>
          <w:p>
            <w:pPr>
              <w:pStyle w:val="Normal"/>
              <w:jc w:val="center"/>
              <w:rPr>
                <w:b/>
                <w:bCs/>
                <w:color w:val="4472C4"/>
                <w:kern w:val="2"/>
                <w:szCs w:val="24"/>
              </w:rPr>
            </w:pPr>
            <w:r>
              <w:rPr>
                <w:b/>
                <w:bCs/>
                <w:color w:val="4472C4"/>
                <w:kern w:val="2"/>
                <w:szCs w:val="24"/>
              </w:rPr>
            </w:r>
          </w:p>
        </w:tc>
      </w:tr>
    </w:tbl>
    <w:p>
      <w:pPr>
        <w:pStyle w:val="Normal"/>
        <w:widowControl w:val="false"/>
        <w:tabs>
          <w:tab w:val="clear" w:pos="1296"/>
          <w:tab w:val="left" w:pos="567" w:leader="none"/>
          <w:tab w:val="left" w:pos="851" w:leader="none"/>
        </w:tabs>
        <w:jc w:val="center"/>
        <w:rPr>
          <w:b/>
          <w:bCs/>
          <w:caps/>
          <w:kern w:val="2"/>
          <w:szCs w:val="24"/>
        </w:rPr>
      </w:pPr>
      <w:r>
        <w:rPr>
          <w:b/>
          <w:bCs/>
          <w:caps/>
          <w:kern w:val="2"/>
          <w:szCs w:val="24"/>
        </w:rPr>
      </w:r>
    </w:p>
    <w:p>
      <w:pPr>
        <w:pStyle w:val="BodyText"/>
        <w:rPr>
          <w:rFonts w:ascii="Arial" w:hAnsi="Arial"/>
          <w:color w:val="000000"/>
          <w:sz w:val="22"/>
          <w:szCs w:val="22"/>
        </w:rPr>
      </w:pPr>
      <w:r>
        <w:rPr>
          <w:rFonts w:ascii="Arial" w:hAnsi="Arial"/>
          <w:color w:val="000000"/>
          <w:sz w:val="22"/>
          <w:szCs w:val="22"/>
        </w:rPr>
      </w:r>
    </w:p>
    <w:p>
      <w:pPr>
        <w:pStyle w:val="Normal"/>
        <w:jc w:val="center"/>
        <w:rPr>
          <w:szCs w:val="24"/>
        </w:rPr>
      </w:pPr>
      <w:r>
        <w:rPr>
          <w:color w:val="000000"/>
          <w:szCs w:val="24"/>
        </w:rPr>
        <w:t>_______________</w:t>
      </w:r>
    </w:p>
    <w:p>
      <w:pPr>
        <w:pStyle w:val="Normal"/>
        <w:spacing w:lineRule="auto" w:line="259"/>
        <w:rPr>
          <w:szCs w:val="24"/>
        </w:rPr>
      </w:pPr>
      <w:r>
        <w:rPr>
          <w:szCs w:val="24"/>
        </w:rPr>
      </w:r>
    </w:p>
    <w:p>
      <w:pPr>
        <w:pStyle w:val="Normal"/>
        <w:rPr/>
      </w:pPr>
      <w:r>
        <w:rPr/>
      </w:r>
    </w:p>
    <w:sectPr>
      <w:headerReference w:type="even" r:id="rId8"/>
      <w:headerReference w:type="default" r:id="rId9"/>
      <w:headerReference w:type="first" r:id="rId10"/>
      <w:footerReference w:type="even" r:id="rId11"/>
      <w:footerReference w:type="default" r:id="rId12"/>
      <w:footerReference w:type="first" r:id="rId13"/>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right"/>
      <w:rPr/>
    </w:pPr>
    <w:r>
      <w:rPr/>
    </w:r>
  </w:p>
</w:hdr>
</file>

<file path=word/settings.xml><?xml version="1.0" encoding="utf-8"?>
<w:settings xmlns:w="http://schemas.openxmlformats.org/wordprocessingml/2006/main">
  <w:zoom w:percent="100"/>
  <w:trackRevisions/>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nhideWhenUsed/>
    <w:qFormat/>
    <w:rsid w:val="00ad1cd0"/>
    <w:rPr>
      <w:color w:themeColor="hyperlink" w:val="0563C1"/>
      <w:u w:val="single"/>
    </w:rPr>
  </w:style>
  <w:style w:type="character" w:styleId="normaltextrun" w:customStyle="1">
    <w:name w:val="normaltextrun"/>
    <w:basedOn w:val="DefaultParagraphFont"/>
    <w:qFormat/>
    <w:rsid w:val="0042437b"/>
    <w:rPr/>
  </w:style>
  <w:style w:type="character" w:styleId="eop" w:customStyle="1">
    <w:name w:val="eop"/>
    <w:basedOn w:val="DefaultParagraphFont"/>
    <w:qFormat/>
    <w:rsid w:val="0042437b"/>
    <w:rPr/>
  </w:style>
  <w:style w:type="character" w:styleId="CommentReference">
    <w:name w:val="annotation reference"/>
    <w:basedOn w:val="DefaultParagraphFont"/>
    <w:semiHidden/>
    <w:unhideWhenUsed/>
    <w:qFormat/>
    <w:rsid w:val="009a3988"/>
    <w:rPr>
      <w:sz w:val="16"/>
      <w:szCs w:val="16"/>
    </w:rPr>
  </w:style>
  <w:style w:type="character" w:styleId="KomentarotekstasDiagrama" w:customStyle="1">
    <w:name w:val="Komentaro tekstas Diagrama"/>
    <w:basedOn w:val="DefaultParagraphFont"/>
    <w:qFormat/>
    <w:rsid w:val="009a3988"/>
    <w:rPr>
      <w:sz w:val="20"/>
    </w:rPr>
  </w:style>
  <w:style w:type="character" w:styleId="KomentarotemaDiagrama" w:customStyle="1">
    <w:name w:val="Komentaro tema Diagrama"/>
    <w:basedOn w:val="KomentarotekstasDiagrama"/>
    <w:link w:val="annotationsubject"/>
    <w:semiHidden/>
    <w:qFormat/>
    <w:rsid w:val="009a3988"/>
    <w:rPr>
      <w:b/>
      <w:bCs/>
      <w:sz w:val="20"/>
    </w:rPr>
  </w:style>
  <w:style w:type="character" w:styleId="UnresolvedMention">
    <w:name w:val="Unresolved Mention"/>
    <w:basedOn w:val="DefaultParagraphFont"/>
    <w:uiPriority w:val="99"/>
    <w:semiHidden/>
    <w:unhideWhenUsed/>
    <w:qFormat/>
    <w:rsid w:val="007816da"/>
    <w:rPr>
      <w:color w:val="605E5C"/>
      <w:shd w:fill="E1DFDD" w:val="clear"/>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LineNumbering" w:customStyle="1">
    <w:name w:val="Line Numbering"/>
    <w:qFormat/>
    <w:rPr/>
  </w:style>
  <w:style w:type="character" w:styleId="InternetLink3" w:customStyle="1">
    <w:name w:val="Internet Link3"/>
    <w:qFormat/>
    <w:rPr>
      <w:color w:val="000080"/>
      <w:u w:val="single"/>
    </w:rPr>
  </w:style>
  <w:style w:type="character" w:styleId="LineNumbering1" w:customStyle="1">
    <w:name w:val="Line Numbering1"/>
    <w:qFormat/>
    <w:rPr/>
  </w:style>
  <w:style w:type="character" w:styleId="InternetLink4" w:customStyle="1">
    <w:name w:val="Internet Link4"/>
    <w:qFormat/>
    <w:rPr>
      <w:color w:val="000080"/>
      <w:u w:val="single"/>
    </w:rPr>
  </w:style>
  <w:style w:type="character" w:styleId="LineNumbering2" w:customStyle="1">
    <w:name w:val="Line Numbering2"/>
    <w:qFormat/>
    <w:rPr/>
  </w:style>
  <w:style w:type="character" w:styleId="InternetLink5" w:customStyle="1">
    <w:name w:val="Internet Link5"/>
    <w:qFormat/>
    <w:rPr>
      <w:color w:val="000080"/>
      <w:u w:val="single"/>
    </w:rPr>
  </w:style>
  <w:style w:type="character" w:styleId="LineNumbering3" w:customStyle="1">
    <w:name w:val="Line Numbering3"/>
    <w:qFormat/>
    <w:rPr/>
  </w:style>
  <w:style w:type="character" w:styleId="InternetLink6" w:customStyle="1">
    <w:name w:val="Internet Link6"/>
    <w:qFormat/>
    <w:rPr>
      <w:color w:val="000080"/>
      <w:u w:val="single"/>
    </w:rPr>
  </w:style>
  <w:style w:type="character" w:styleId="LineNumbering4" w:customStyle="1">
    <w:name w:val="Line Numbering4"/>
    <w:qFormat/>
    <w:rPr/>
  </w:style>
  <w:style w:type="character" w:styleId="InternetLink7" w:customStyle="1">
    <w:name w:val="Internet Link7"/>
    <w:qFormat/>
    <w:rPr>
      <w:color w:val="000080"/>
      <w:u w:val="single"/>
    </w:rPr>
  </w:style>
  <w:style w:type="character" w:styleId="LineNumbering5" w:customStyle="1">
    <w:name w:val="Line Numbering5"/>
    <w:qFormat/>
    <w:rPr/>
  </w:style>
  <w:style w:type="character" w:styleId="InternetLink8" w:customStyle="1">
    <w:name w:val="Internet Link8"/>
    <w:qFormat/>
    <w:rPr>
      <w:color w:val="000080"/>
      <w:u w:val="single"/>
    </w:rPr>
  </w:style>
  <w:style w:type="character" w:styleId="LineNumbering6" w:customStyle="1">
    <w:name w:val="Line Numbering6"/>
    <w:qFormat/>
    <w:rPr/>
  </w:style>
  <w:style w:type="character" w:styleId="InternetLink9" w:customStyle="1">
    <w:name w:val="Internet Link9"/>
    <w:qFormat/>
    <w:rPr>
      <w:color w:val="000080"/>
      <w:u w:val="single"/>
    </w:rPr>
  </w:style>
  <w:style w:type="character" w:styleId="LineNumbering7" w:customStyle="1">
    <w:name w:val="Line Numbering7"/>
    <w:qFormat/>
    <w:rPr/>
  </w:style>
  <w:style w:type="character" w:styleId="InternetLink10" w:customStyle="1">
    <w:name w:val="Internet Link10"/>
    <w:qFormat/>
    <w:rPr>
      <w:color w:val="000080"/>
      <w:u w:val="single"/>
    </w:rPr>
  </w:style>
  <w:style w:type="character" w:styleId="LineNumbering8" w:customStyle="1">
    <w:name w:val="Line Numbering8"/>
    <w:qFormat/>
    <w:rPr/>
  </w:style>
  <w:style w:type="character" w:styleId="InternetLink11" w:customStyle="1">
    <w:name w:val="Internet Link11"/>
    <w:qFormat/>
    <w:rPr>
      <w:color w:val="000080"/>
      <w:u w:val="single"/>
    </w:rPr>
  </w:style>
  <w:style w:type="character" w:styleId="LineNumbering9" w:customStyle="1">
    <w:name w:val="Line Numbering9"/>
    <w:qFormat/>
    <w:rPr/>
  </w:style>
  <w:style w:type="character" w:styleId="InternetLink12" w:customStyle="1">
    <w:name w:val="Internet Link12"/>
    <w:qFormat/>
    <w:rPr>
      <w:color w:val="000080"/>
      <w:u w:val="single"/>
    </w:rPr>
  </w:style>
  <w:style w:type="character" w:styleId="LineNumbering10" w:customStyle="1">
    <w:name w:val="Line Numbering10"/>
    <w:qFormat/>
    <w:rPr/>
  </w:style>
  <w:style w:type="character" w:styleId="InternetLink13">
    <w:name w:val="Internet Link13"/>
    <w:qFormat/>
    <w:rPr>
      <w:color w:val="000080"/>
      <w:u w:val="single"/>
    </w:rPr>
  </w:style>
  <w:style w:type="character" w:styleId="LineNumbering11">
    <w:name w:val="Line Numbering11"/>
    <w:qFormat/>
    <w:rPr/>
  </w:style>
  <w:style w:type="character" w:styleId="InternetLink14">
    <w:name w:val="Internet Link14"/>
    <w:qFormat/>
    <w:rPr>
      <w:color w:val="000080"/>
      <w:u w:val="single"/>
    </w:rPr>
  </w:style>
  <w:style w:type="character" w:styleId="LineNumbering12">
    <w:name w:val="Line Numbering12"/>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Antrat1" w:customStyle="1">
    <w:name w:val="Antraštė1"/>
    <w:basedOn w:val="Normal"/>
    <w:next w:val="BodyText"/>
    <w:qFormat/>
    <w:pPr>
      <w:keepNext w:val="true"/>
      <w:spacing w:before="240" w:after="120"/>
    </w:pPr>
    <w:rPr>
      <w:rFonts w:ascii="Liberation Sans" w:hAnsi="Liberation Sans" w:eastAsia="Microsoft YaHei" w:cs="Lucida Sans"/>
      <w:sz w:val="28"/>
      <w:szCs w:val="28"/>
    </w:rPr>
  </w:style>
  <w:style w:type="paragraph" w:styleId="paragraph" w:customStyle="1">
    <w:name w:val="paragraph"/>
    <w:basedOn w:val="Normal"/>
    <w:qFormat/>
    <w:rsid w:val="0042437b"/>
    <w:pPr>
      <w:spacing w:beforeAutospacing="1" w:afterAutospacing="1"/>
    </w:pPr>
    <w:rPr>
      <w:szCs w:val="24"/>
      <w:lang w:val="en-US"/>
    </w:rPr>
  </w:style>
  <w:style w:type="paragraph" w:styleId="CommentText">
    <w:name w:val="annotation text"/>
    <w:basedOn w:val="Normal"/>
    <w:link w:val="KomentarotekstasDiagrama"/>
    <w:unhideWhenUsed/>
    <w:rsid w:val="009a3988"/>
    <w:pPr/>
    <w:rPr>
      <w:sz w:val="20"/>
    </w:rPr>
  </w:style>
  <w:style w:type="paragraph" w:styleId="annotationsubject">
    <w:name w:val="annotation subject"/>
    <w:basedOn w:val="CommentText"/>
    <w:next w:val="CommentText"/>
    <w:link w:val="KomentarotemaDiagrama"/>
    <w:semiHidden/>
    <w:unhideWhenUsed/>
    <w:qFormat/>
    <w:rsid w:val="009a3988"/>
    <w:pPr/>
    <w:rPr>
      <w:b/>
      <w:bCs/>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Revision">
    <w:name w:val="Revision"/>
    <w:semiHidden/>
    <w:qFormat/>
    <w:rsid w:val="006e4109"/>
    <w:pPr>
      <w:widowControl/>
      <w:suppressAutoHyphens w:val="fals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Lentelsturinys" w:customStyle="1">
    <w:name w:val="Lentelės turinys"/>
    <w:basedOn w:val="Normal"/>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ListParagraph">
    <w:name w:val="List Paragraph"/>
    <w:basedOn w:val="Normal"/>
    <w:qFormat/>
    <w:pPr>
      <w:spacing w:before="0" w:after="0"/>
      <w:ind w:left="720"/>
      <w:contextualSpacing/>
    </w:pPr>
    <w:rPr/>
  </w:style>
  <w:style w:type="paragraph" w:styleId="Bodytext1" w:customStyle="1">
    <w:name w:val="Body text1"/>
    <w:basedOn w:val="Normal"/>
    <w:qFormat/>
    <w:pPr>
      <w:shd w:val="clear" w:color="auto" w:fill="FFFFFF"/>
      <w:spacing w:lineRule="exact" w:line="274" w:before="240" w:after="240"/>
      <w:ind w:hanging="1060"/>
    </w:pPr>
    <w:rPr>
      <w:sz w:val="23"/>
      <w:szCs w:val="23"/>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fo@vmu.lt" TargetMode="External"/><Relationship Id="rId3" Type="http://schemas.openxmlformats.org/officeDocument/2006/relationships/hyperlink" Target="mailto:julius@novakopa.lt" TargetMode="External"/><Relationship Id="rId4" Type="http://schemas.openxmlformats.org/officeDocument/2006/relationships/hyperlink" Target="https://vmu.lt/wp-content/uploads/2021/08/Antikorupcine-politika.pdf" TargetMode="External"/><Relationship Id="rId5" Type="http://schemas.openxmlformats.org/officeDocument/2006/relationships/hyperlink" Target="https://vmu.lt/wp-content/uploads/2022/09/Dovanu-politika1.pdf" TargetMode="External"/><Relationship Id="rId6" Type="http://schemas.openxmlformats.org/officeDocument/2006/relationships/hyperlink" Target="https://vmu.lt/wp-content/uploads/2021/08/Interesu-konfliktu-vengimo-politika.pdf" TargetMode="External"/><Relationship Id="rId7" Type="http://schemas.openxmlformats.org/officeDocument/2006/relationships/hyperlink" Target="https://vmu.lt/korupcijos-prevencija/"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Application>LibreOffice/24.8.0.3$Windows_X86_64 LibreOffice_project/0bdf1299c94fe897b119f97f3c613e9dca6be583</Application>
  <AppVersion>15.0000</AppVersion>
  <Pages>12</Pages>
  <Words>3080</Words>
  <Characters>21720</Characters>
  <CharactersWithSpaces>24599</CharactersWithSpaces>
  <Paragraphs>226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2026-04-08T13:54:00Z</dcterms:created>
  <dc:creator>Neringa Kaktavičiūtė-Mickienė | VMU</dc:creator>
  <dc:description/>
  <dc:language>lt-LT</dc:language>
  <cp:lastModifiedBy/>
  <dcterms:modified xsi:type="dcterms:W3CDTF">2026-04-08T21:06:17Z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